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5F485B39"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240F9D" w:rsidRPr="00FB5E72">
        <w:rPr>
          <w:rFonts w:eastAsia="SimSun" w:cs="Arial"/>
          <w:sz w:val="22"/>
          <w:szCs w:val="22"/>
          <w:lang w:eastAsia="zh-CN"/>
        </w:rPr>
        <w:t>1</w:t>
      </w:r>
      <w:r w:rsidR="00720E1C">
        <w:rPr>
          <w:rFonts w:eastAsia="SimSun" w:cs="Arial"/>
          <w:sz w:val="22"/>
          <w:szCs w:val="22"/>
          <w:lang w:eastAsia="zh-CN"/>
        </w:rPr>
        <w:t>8</w:t>
      </w:r>
      <w:r w:rsidR="00052DD1" w:rsidRPr="00FB5E72">
        <w:rPr>
          <w:rFonts w:eastAsia="SimSun" w:cs="Arial"/>
          <w:sz w:val="22"/>
          <w:szCs w:val="22"/>
          <w:lang w:eastAsia="zh-CN"/>
        </w:rPr>
        <w:t>-</w:t>
      </w:r>
      <w:r w:rsidRPr="00FB5E72">
        <w:rPr>
          <w:rFonts w:eastAsia="SimSun" w:cs="Arial"/>
          <w:sz w:val="22"/>
          <w:szCs w:val="22"/>
          <w:lang w:eastAsia="zh-CN"/>
        </w:rPr>
        <w:t>e</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7D0429">
        <w:rPr>
          <w:rFonts w:eastAsia="SimSun" w:cs="Arial"/>
          <w:sz w:val="22"/>
          <w:szCs w:val="22"/>
          <w:lang w:eastAsia="zh-CN"/>
        </w:rPr>
        <w:t>05704</w:t>
      </w:r>
    </w:p>
    <w:bookmarkEnd w:id="0"/>
    <w:p w14:paraId="5B38EC88" w14:textId="4CFFCA05" w:rsidR="002071E9" w:rsidRPr="00FB5E72" w:rsidRDefault="002071E9" w:rsidP="006E0DC7">
      <w:pPr>
        <w:pStyle w:val="Header"/>
        <w:rPr>
          <w:rFonts w:cs="Arial"/>
          <w:sz w:val="22"/>
          <w:szCs w:val="22"/>
          <w:highlight w:val="yellow"/>
          <w:vertAlign w:val="superscript"/>
        </w:rPr>
      </w:pPr>
      <w:r w:rsidRPr="00FB5E72">
        <w:rPr>
          <w:rFonts w:eastAsia="SimSun" w:cs="Arial"/>
          <w:sz w:val="22"/>
          <w:szCs w:val="22"/>
          <w:lang w:eastAsia="zh-CN"/>
        </w:rPr>
        <w:t xml:space="preserve">Electronic, </w:t>
      </w:r>
      <w:r w:rsidR="00720E1C">
        <w:rPr>
          <w:rFonts w:eastAsia="SimSun" w:cs="Arial"/>
          <w:sz w:val="22"/>
          <w:szCs w:val="22"/>
          <w:lang w:eastAsia="zh-CN"/>
        </w:rPr>
        <w:t>9</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720E1C">
        <w:rPr>
          <w:rFonts w:eastAsia="SimSun" w:cs="Arial"/>
          <w:sz w:val="22"/>
          <w:szCs w:val="22"/>
          <w:lang w:eastAsia="zh-CN"/>
        </w:rPr>
        <w:t>May</w:t>
      </w:r>
      <w:r w:rsidRPr="00FB5E72">
        <w:rPr>
          <w:rFonts w:eastAsia="SimSun" w:cs="Arial"/>
          <w:sz w:val="22"/>
          <w:szCs w:val="22"/>
          <w:lang w:eastAsia="zh-CN"/>
        </w:rPr>
        <w:t xml:space="preserve"> – </w:t>
      </w:r>
      <w:r w:rsidR="00E040FC">
        <w:rPr>
          <w:rFonts w:eastAsia="SimSun" w:cs="Arial"/>
          <w:sz w:val="22"/>
          <w:szCs w:val="22"/>
          <w:lang w:eastAsia="zh-CN"/>
        </w:rPr>
        <w:t>20</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5C4415" w:rsidRPr="00FB5E72">
        <w:rPr>
          <w:rFonts w:eastAsia="SimSun" w:cs="Arial"/>
          <w:sz w:val="22"/>
          <w:szCs w:val="22"/>
          <w:lang w:eastAsia="zh-CN"/>
        </w:rPr>
        <w:t>Ma</w:t>
      </w:r>
      <w:r w:rsidR="00E86F1C">
        <w:rPr>
          <w:rFonts w:eastAsia="SimSun" w:cs="Arial"/>
          <w:sz w:val="22"/>
          <w:szCs w:val="22"/>
          <w:lang w:eastAsia="zh-CN"/>
        </w:rPr>
        <w:t>y</w:t>
      </w:r>
      <w:r w:rsidR="004370EC" w:rsidRPr="00FB5E72">
        <w:rPr>
          <w:rFonts w:eastAsia="SimSun" w:cs="Arial"/>
          <w:sz w:val="22"/>
          <w:szCs w:val="22"/>
          <w:lang w:eastAsia="zh-CN"/>
        </w:rPr>
        <w:t xml:space="preserve"> </w:t>
      </w:r>
      <w:r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4A3996A0"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FA6709" w:rsidRPr="00FB5E72">
        <w:rPr>
          <w:rFonts w:cs="Arial"/>
          <w:sz w:val="22"/>
          <w:szCs w:val="22"/>
        </w:rPr>
        <w:t xml:space="preserve">HO related SON </w:t>
      </w:r>
      <w:r w:rsidR="00FF73D4">
        <w:rPr>
          <w:rFonts w:cs="Arial"/>
          <w:sz w:val="22"/>
          <w:szCs w:val="22"/>
        </w:rPr>
        <w:t>corrections</w:t>
      </w:r>
      <w:r w:rsidR="005741A4" w:rsidRPr="00FB5E72">
        <w:rPr>
          <w:rFonts w:cs="Arial"/>
          <w:sz w:val="22"/>
          <w:szCs w:val="22"/>
        </w:rPr>
        <w:t xml:space="preserve"> </w:t>
      </w:r>
    </w:p>
    <w:p w14:paraId="6ED5674A" w14:textId="77C9D8EF"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40FC">
        <w:rPr>
          <w:rFonts w:cs="Arial"/>
          <w:sz w:val="22"/>
          <w:szCs w:val="22"/>
        </w:rPr>
        <w:t>6</w:t>
      </w:r>
      <w:r w:rsidR="00756D2B" w:rsidRPr="00FB5E72">
        <w:rPr>
          <w:rFonts w:cs="Arial"/>
          <w:sz w:val="22"/>
          <w:szCs w:val="22"/>
        </w:rPr>
        <w:t>.13.</w:t>
      </w:r>
      <w:r w:rsidR="007E17E4">
        <w:rPr>
          <w:rFonts w:cs="Arial"/>
          <w:sz w:val="22"/>
          <w:szCs w:val="22"/>
        </w:rPr>
        <w:t>3</w:t>
      </w:r>
      <w:r w:rsidR="00756D2B" w:rsidRPr="00FB5E72">
        <w:rPr>
          <w:rFonts w:cs="Arial"/>
          <w:sz w:val="22"/>
          <w:szCs w:val="22"/>
        </w:rPr>
        <w:t xml:space="preserve"> </w:t>
      </w:r>
      <w:r w:rsidR="00FF73D4" w:rsidRPr="001B5A68">
        <w:t xml:space="preserve">SON </w:t>
      </w:r>
      <w:r w:rsidR="00FF73D4">
        <w:t>Corrections</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54C72EFD" w14:textId="357B2C71" w:rsidR="00750ABB" w:rsidRDefault="0097645C" w:rsidP="006E0DC7">
      <w:pPr>
        <w:overflowPunct w:val="0"/>
        <w:autoSpaceDE w:val="0"/>
        <w:autoSpaceDN w:val="0"/>
        <w:adjustRightInd w:val="0"/>
        <w:textAlignment w:val="baseline"/>
        <w:rPr>
          <w:rFonts w:ascii="Arial" w:hAnsi="Arial" w:cs="Arial"/>
          <w:bCs/>
        </w:rPr>
      </w:pPr>
      <w:r w:rsidRPr="00FB5E72">
        <w:rPr>
          <w:rFonts w:ascii="Arial" w:hAnsi="Arial" w:cs="Arial"/>
          <w:bCs/>
        </w:rPr>
        <w:t>In RAN2#117-emeeting</w:t>
      </w:r>
      <w:r w:rsidR="00BF22C3">
        <w:rPr>
          <w:rFonts w:ascii="Arial" w:hAnsi="Arial" w:cs="Arial"/>
          <w:bCs/>
        </w:rPr>
        <w:t xml:space="preserve"> [1]</w:t>
      </w:r>
      <w:r w:rsidRPr="00FB5E72">
        <w:rPr>
          <w:rFonts w:ascii="Arial" w:hAnsi="Arial" w:cs="Arial"/>
          <w:bCs/>
        </w:rPr>
        <w:t xml:space="preserve">, </w:t>
      </w:r>
      <w:r w:rsidR="001A6696">
        <w:rPr>
          <w:rFonts w:ascii="Arial" w:hAnsi="Arial" w:cs="Arial"/>
          <w:bCs/>
        </w:rPr>
        <w:t xml:space="preserve">RAN2 agreed to revisit </w:t>
      </w:r>
      <w:r w:rsidR="00750ABB">
        <w:rPr>
          <w:rFonts w:ascii="Arial" w:hAnsi="Arial" w:cs="Arial"/>
          <w:bCs/>
        </w:rPr>
        <w:t xml:space="preserve">whether </w:t>
      </w:r>
      <w:r w:rsidR="00941DA9">
        <w:rPr>
          <w:rFonts w:ascii="Arial" w:hAnsi="Arial" w:cs="Arial"/>
          <w:bCs/>
        </w:rPr>
        <w:t xml:space="preserve">the CHO candidate cell list and CHO configuration are included in the RLF report. </w:t>
      </w:r>
    </w:p>
    <w:p w14:paraId="73981B6C" w14:textId="77777777" w:rsidR="00750ABB" w:rsidRDefault="00750ABB" w:rsidP="006E0DC7">
      <w:pPr>
        <w:overflowPunct w:val="0"/>
        <w:autoSpaceDE w:val="0"/>
        <w:autoSpaceDN w:val="0"/>
        <w:adjustRightInd w:val="0"/>
        <w:textAlignment w:val="baseline"/>
        <w:rPr>
          <w:rFonts w:ascii="Arial" w:hAnsi="Arial" w:cs="Arial"/>
          <w:bCs/>
        </w:rPr>
      </w:pPr>
    </w:p>
    <w:p w14:paraId="2D60E975" w14:textId="660D2C84" w:rsidR="00750ABB" w:rsidRDefault="00750ABB" w:rsidP="00750ABB">
      <w:pPr>
        <w:pStyle w:val="Doc-text2"/>
        <w:pBdr>
          <w:top w:val="single" w:sz="4" w:space="1" w:color="auto"/>
          <w:left w:val="single" w:sz="4" w:space="4" w:color="auto"/>
          <w:bottom w:val="single" w:sz="4" w:space="1" w:color="auto"/>
          <w:right w:val="single" w:sz="4" w:space="4" w:color="auto"/>
        </w:pBdr>
      </w:pPr>
      <w:r>
        <w:t>1</w:t>
      </w:r>
      <w:r w:rsidRPr="00DB23BF">
        <w:t>4</w:t>
      </w:r>
      <w:r w:rsidRPr="00DB23BF">
        <w:tab/>
        <w:t>Keep the CHO candidate cell list and the CHO configuration only in the RLF-Report (not in the SHR), as in the current running CR.</w:t>
      </w:r>
      <w:r>
        <w:t xml:space="preserve"> This agreement can be revisit</w:t>
      </w:r>
      <w:r w:rsidR="00702030">
        <w:t>ed</w:t>
      </w:r>
      <w:r>
        <w:t xml:space="preserve"> depending on RAN3 progress.</w:t>
      </w:r>
    </w:p>
    <w:p w14:paraId="7F926CF5" w14:textId="7F2EB1B4" w:rsidR="0097645C" w:rsidRPr="00FB5E72" w:rsidRDefault="005F5338" w:rsidP="006E0DC7">
      <w:pPr>
        <w:overflowPunct w:val="0"/>
        <w:autoSpaceDE w:val="0"/>
        <w:autoSpaceDN w:val="0"/>
        <w:adjustRightInd w:val="0"/>
        <w:textAlignment w:val="baseline"/>
        <w:rPr>
          <w:rFonts w:ascii="Arial" w:hAnsi="Arial" w:cs="Arial"/>
          <w:bCs/>
        </w:rPr>
      </w:pPr>
      <w:r w:rsidRPr="00FB5E72">
        <w:rPr>
          <w:rFonts w:ascii="Arial" w:hAnsi="Arial" w:cs="Arial"/>
          <w:lang w:eastAsia="zh-CN"/>
        </w:rPr>
        <w:t xml:space="preserve"> </w:t>
      </w:r>
    </w:p>
    <w:p w14:paraId="0408C907" w14:textId="571DB019" w:rsidR="0007339F" w:rsidRPr="00FB5E72" w:rsidRDefault="002D0FE8" w:rsidP="006E0DC7">
      <w:pPr>
        <w:pStyle w:val="BodyText"/>
        <w:jc w:val="left"/>
        <w:rPr>
          <w:rFonts w:ascii="Arial" w:hAnsi="Arial" w:cs="Arial"/>
        </w:rPr>
      </w:pPr>
      <w:r w:rsidRPr="00FB5E72">
        <w:rPr>
          <w:rFonts w:ascii="Arial" w:hAnsi="Arial" w:cs="Arial"/>
          <w:lang w:val="en-GB" w:eastAsia="zh-CN"/>
        </w:rPr>
        <w:t xml:space="preserve">This </w:t>
      </w:r>
      <w:r w:rsidR="002B044E" w:rsidRPr="00FB5E72">
        <w:rPr>
          <w:rFonts w:ascii="Arial" w:hAnsi="Arial" w:cs="Arial"/>
          <w:lang w:val="en-GB" w:eastAsia="zh-CN"/>
        </w:rPr>
        <w:t xml:space="preserve">paper </w:t>
      </w:r>
      <w:r w:rsidR="005D4027" w:rsidRPr="00FB5E72">
        <w:rPr>
          <w:rFonts w:ascii="Arial" w:hAnsi="Arial" w:cs="Arial"/>
          <w:lang w:val="en-GB" w:eastAsia="zh-CN"/>
        </w:rPr>
        <w:t xml:space="preserve">intended to discuss </w:t>
      </w:r>
      <w:r w:rsidR="00941DA9">
        <w:rPr>
          <w:rFonts w:ascii="Arial" w:hAnsi="Arial" w:cs="Arial"/>
          <w:lang w:val="en-GB" w:eastAsia="zh-CN"/>
        </w:rPr>
        <w:t xml:space="preserve">the </w:t>
      </w:r>
      <w:proofErr w:type="gramStart"/>
      <w:r w:rsidR="00941DA9">
        <w:rPr>
          <w:rFonts w:ascii="Arial" w:hAnsi="Arial" w:cs="Arial"/>
          <w:lang w:val="en-GB" w:eastAsia="zh-CN"/>
        </w:rPr>
        <w:t xml:space="preserve">aforementioned </w:t>
      </w:r>
      <w:r w:rsidR="000C05B0">
        <w:rPr>
          <w:rFonts w:ascii="Arial" w:hAnsi="Arial" w:cs="Arial"/>
          <w:lang w:val="en-GB" w:eastAsia="zh-CN"/>
        </w:rPr>
        <w:t>agreement</w:t>
      </w:r>
      <w:proofErr w:type="gramEnd"/>
      <w:r w:rsidR="00941DA9">
        <w:rPr>
          <w:rFonts w:ascii="Arial" w:hAnsi="Arial" w:cs="Arial"/>
          <w:lang w:val="en-GB" w:eastAsia="zh-CN"/>
        </w:rPr>
        <w:t xml:space="preserve"> </w:t>
      </w:r>
      <w:r w:rsidR="000C05B0">
        <w:rPr>
          <w:rFonts w:ascii="Arial" w:hAnsi="Arial" w:cs="Arial"/>
          <w:lang w:val="en-GB" w:eastAsia="zh-CN"/>
        </w:rPr>
        <w:t xml:space="preserve">(i.e., whether there is a need for reporting </w:t>
      </w:r>
      <w:r w:rsidR="00702030">
        <w:rPr>
          <w:rFonts w:ascii="Arial" w:hAnsi="Arial" w:cs="Arial"/>
          <w:lang w:val="en-GB" w:eastAsia="zh-CN"/>
        </w:rPr>
        <w:t xml:space="preserve">the </w:t>
      </w:r>
      <w:r w:rsidR="000C05B0">
        <w:rPr>
          <w:rFonts w:ascii="Arial" w:hAnsi="Arial" w:cs="Arial"/>
          <w:bCs/>
        </w:rPr>
        <w:t>CHO candidate cell list and CHO configuration</w:t>
      </w:r>
      <w:r w:rsidR="00702030">
        <w:rPr>
          <w:rFonts w:ascii="Arial" w:hAnsi="Arial" w:cs="Arial"/>
          <w:bCs/>
        </w:rPr>
        <w:t xml:space="preserve"> in the RLF report</w:t>
      </w:r>
      <w:r w:rsidR="000C05B0">
        <w:rPr>
          <w:rFonts w:ascii="Arial" w:hAnsi="Arial" w:cs="Arial"/>
          <w:lang w:val="en-GB" w:eastAsia="zh-CN"/>
        </w:rPr>
        <w:t>)</w:t>
      </w:r>
      <w:r w:rsidR="006D7B1C" w:rsidRPr="00FB5E72">
        <w:rPr>
          <w:rFonts w:ascii="Arial" w:hAnsi="Arial" w:cs="Arial"/>
          <w:lang w:val="en-GB" w:eastAsia="zh-CN"/>
        </w:rPr>
        <w:t>.</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15E0CA7A" w14:textId="7605F6A5" w:rsidR="002C3882" w:rsidRPr="00FB5E72" w:rsidRDefault="00817352" w:rsidP="006E0DC7">
      <w:pPr>
        <w:rPr>
          <w:rFonts w:ascii="Arial" w:hAnsi="Arial" w:cs="Arial"/>
          <w:b/>
          <w:bCs/>
          <w:sz w:val="22"/>
          <w:szCs w:val="22"/>
          <w:lang w:val="en-GB" w:eastAsia="zh-CN"/>
        </w:rPr>
      </w:pPr>
      <w:r w:rsidRPr="00FB5E72">
        <w:rPr>
          <w:rFonts w:ascii="Arial" w:hAnsi="Arial" w:cs="Arial"/>
          <w:b/>
          <w:bCs/>
          <w:sz w:val="22"/>
          <w:szCs w:val="22"/>
          <w:lang w:val="en-GB" w:eastAsia="zh-CN"/>
        </w:rPr>
        <w:t xml:space="preserve">2.1 </w:t>
      </w:r>
      <w:r w:rsidR="00EF6C39">
        <w:rPr>
          <w:rFonts w:ascii="Arial" w:hAnsi="Arial" w:cs="Arial"/>
          <w:b/>
          <w:bCs/>
          <w:sz w:val="22"/>
          <w:szCs w:val="22"/>
          <w:lang w:val="en-GB" w:eastAsia="zh-CN"/>
        </w:rPr>
        <w:t>On the n</w:t>
      </w:r>
      <w:r w:rsidR="00A36FB2">
        <w:rPr>
          <w:rFonts w:ascii="Arial" w:hAnsi="Arial" w:cs="Arial"/>
          <w:b/>
          <w:bCs/>
          <w:sz w:val="22"/>
          <w:szCs w:val="22"/>
          <w:lang w:val="en-GB" w:eastAsia="zh-CN"/>
        </w:rPr>
        <w:t>eed for reporting CHO candidate cellist and configuration in RLF report</w:t>
      </w:r>
    </w:p>
    <w:p w14:paraId="19D1BAFC" w14:textId="7D0DF3F8" w:rsidR="00973BCC" w:rsidRDefault="00973BCC" w:rsidP="006E0DC7">
      <w:pPr>
        <w:rPr>
          <w:rFonts w:ascii="Arial" w:hAnsi="Arial" w:cs="Arial"/>
          <w:b/>
          <w:bCs/>
          <w:sz w:val="22"/>
          <w:szCs w:val="22"/>
          <w:lang w:val="en-GB" w:eastAsia="zh-CN"/>
        </w:rPr>
      </w:pPr>
    </w:p>
    <w:p w14:paraId="1B556E9A" w14:textId="009F5C46" w:rsidR="009E32FD" w:rsidRDefault="009E32FD" w:rsidP="006E0DC7">
      <w:pPr>
        <w:rPr>
          <w:rFonts w:ascii="Arial" w:eastAsia="MS Mincho" w:hAnsi="Arial" w:cs="Arial"/>
          <w:szCs w:val="20"/>
          <w:lang w:eastAsia="ja-JP"/>
        </w:rPr>
      </w:pPr>
      <w:r w:rsidRPr="00F96A21">
        <w:rPr>
          <w:rFonts w:ascii="Arial" w:hAnsi="Arial" w:cs="Arial"/>
          <w:szCs w:val="20"/>
          <w:lang w:val="en-GB" w:eastAsia="zh-CN"/>
        </w:rPr>
        <w:t>In RAN3#115-emeeting</w:t>
      </w:r>
      <w:r w:rsidR="00BF22C3" w:rsidRPr="00F96A21">
        <w:rPr>
          <w:rFonts w:ascii="Arial" w:hAnsi="Arial" w:cs="Arial"/>
          <w:szCs w:val="20"/>
          <w:lang w:val="en-GB" w:eastAsia="zh-CN"/>
        </w:rPr>
        <w:t xml:space="preserve"> [2,3]</w:t>
      </w:r>
      <w:r w:rsidRPr="00F96A21">
        <w:rPr>
          <w:rFonts w:ascii="Arial" w:hAnsi="Arial" w:cs="Arial"/>
          <w:szCs w:val="20"/>
          <w:lang w:val="en-GB" w:eastAsia="zh-CN"/>
        </w:rPr>
        <w:t xml:space="preserve">, RAN3 </w:t>
      </w:r>
      <w:r w:rsidR="00C21C7C" w:rsidRPr="00F96A21">
        <w:rPr>
          <w:rFonts w:ascii="Arial" w:hAnsi="Arial" w:cs="Arial"/>
          <w:szCs w:val="20"/>
          <w:lang w:val="en-GB" w:eastAsia="zh-CN"/>
        </w:rPr>
        <w:t>agr</w:t>
      </w:r>
      <w:r w:rsidR="00F96A21">
        <w:rPr>
          <w:rFonts w:ascii="Arial" w:hAnsi="Arial" w:cs="Arial"/>
          <w:szCs w:val="20"/>
          <w:lang w:val="en-GB" w:eastAsia="zh-CN"/>
        </w:rPr>
        <w:t>e</w:t>
      </w:r>
      <w:r w:rsidR="00C21C7C" w:rsidRPr="00F96A21">
        <w:rPr>
          <w:rFonts w:ascii="Arial" w:hAnsi="Arial" w:cs="Arial"/>
          <w:szCs w:val="20"/>
          <w:lang w:val="en-GB" w:eastAsia="zh-CN"/>
        </w:rPr>
        <w:t xml:space="preserve">ed to </w:t>
      </w:r>
      <w:r w:rsidR="00F96A21">
        <w:rPr>
          <w:rFonts w:ascii="Arial" w:hAnsi="Arial" w:cs="Arial"/>
          <w:szCs w:val="20"/>
          <w:lang w:val="en-GB" w:eastAsia="zh-CN"/>
        </w:rPr>
        <w:t>“</w:t>
      </w:r>
      <w:r w:rsidR="00F96A21" w:rsidRPr="00F96A21">
        <w:rPr>
          <w:rFonts w:ascii="Arial" w:eastAsia="MS Mincho" w:hAnsi="Arial" w:cs="Arial"/>
          <w:szCs w:val="20"/>
          <w:lang w:eastAsia="ja-JP"/>
        </w:rPr>
        <w:t>Include candidate cell list and CHO execution condition(s) as optional in the SN STATUS TRANSFER message and HANDOVER REPORT message</w:t>
      </w:r>
      <w:r w:rsidR="00F96A21">
        <w:rPr>
          <w:rFonts w:ascii="Arial" w:eastAsia="MS Mincho" w:hAnsi="Arial" w:cs="Arial"/>
          <w:szCs w:val="20"/>
          <w:lang w:eastAsia="ja-JP"/>
        </w:rPr>
        <w:t xml:space="preserve">”. </w:t>
      </w:r>
    </w:p>
    <w:p w14:paraId="7CA38886" w14:textId="28B96522" w:rsidR="00CF18C9" w:rsidRDefault="00CF18C9" w:rsidP="006E0DC7">
      <w:pPr>
        <w:rPr>
          <w:rFonts w:ascii="Arial" w:eastAsia="MS Mincho" w:hAnsi="Arial" w:cs="Arial"/>
          <w:szCs w:val="20"/>
          <w:lang w:eastAsia="ja-JP"/>
        </w:rPr>
      </w:pPr>
    </w:p>
    <w:p w14:paraId="6B69904E" w14:textId="556629E8" w:rsidR="00CF18C9" w:rsidRDefault="00857F57" w:rsidP="006E0DC7">
      <w:pPr>
        <w:rPr>
          <w:rFonts w:ascii="Arial" w:eastAsia="MS Mincho" w:hAnsi="Arial" w:cs="Arial"/>
          <w:b/>
          <w:bCs/>
          <w:szCs w:val="20"/>
          <w:lang w:eastAsia="ja-JP"/>
        </w:rPr>
      </w:pPr>
      <w:r w:rsidRPr="00B82ABB">
        <w:rPr>
          <w:rFonts w:ascii="Arial" w:eastAsia="MS Mincho" w:hAnsi="Arial" w:cs="Arial"/>
          <w:b/>
          <w:bCs/>
          <w:szCs w:val="20"/>
          <w:lang w:eastAsia="ja-JP"/>
        </w:rPr>
        <w:t xml:space="preserve">Observation 1: </w:t>
      </w:r>
      <w:r w:rsidRPr="00B82ABB">
        <w:rPr>
          <w:rFonts w:ascii="Arial" w:hAnsi="Arial" w:cs="Arial"/>
          <w:b/>
          <w:bCs/>
          <w:szCs w:val="20"/>
          <w:lang w:val="en-GB" w:eastAsia="zh-CN"/>
        </w:rPr>
        <w:t>RAN3 agreed to “</w:t>
      </w:r>
      <w:r w:rsidRPr="00B82ABB">
        <w:rPr>
          <w:rFonts w:ascii="Arial" w:eastAsia="MS Mincho" w:hAnsi="Arial" w:cs="Arial"/>
          <w:b/>
          <w:bCs/>
          <w:szCs w:val="20"/>
          <w:lang w:eastAsia="ja-JP"/>
        </w:rPr>
        <w:t>Include candidate cell list and CHO execution condition(s) as optional in the SN STATUS TRANSFER message and HANDOVER REPORT message”.</w:t>
      </w:r>
    </w:p>
    <w:p w14:paraId="4B6294E1" w14:textId="59BD4343" w:rsidR="00D75A38" w:rsidRDefault="00D75A38" w:rsidP="006E0DC7">
      <w:pPr>
        <w:rPr>
          <w:rFonts w:ascii="Arial" w:eastAsia="MS Mincho" w:hAnsi="Arial" w:cs="Arial"/>
          <w:b/>
          <w:bCs/>
          <w:szCs w:val="20"/>
          <w:lang w:eastAsia="ja-JP"/>
        </w:rPr>
      </w:pPr>
    </w:p>
    <w:p w14:paraId="4CCA3675" w14:textId="4E605F06" w:rsidR="00D75A38" w:rsidRPr="00D75A38" w:rsidRDefault="007F3F42" w:rsidP="006E0DC7">
      <w:pPr>
        <w:rPr>
          <w:rFonts w:ascii="Arial" w:hAnsi="Arial" w:cs="Arial"/>
          <w:szCs w:val="20"/>
          <w:lang w:val="en-GB" w:eastAsia="zh-CN"/>
        </w:rPr>
      </w:pPr>
      <w:r>
        <w:rPr>
          <w:rFonts w:ascii="Arial" w:hAnsi="Arial" w:cs="Arial"/>
          <w:szCs w:val="20"/>
          <w:lang w:val="en-GB" w:eastAsia="zh-CN"/>
        </w:rPr>
        <w:t xml:space="preserve">Although the </w:t>
      </w:r>
      <w:proofErr w:type="gramStart"/>
      <w:r w:rsidR="00F72C70">
        <w:rPr>
          <w:rFonts w:ascii="Arial" w:hAnsi="Arial" w:cs="Arial"/>
          <w:szCs w:val="20"/>
          <w:lang w:val="en-GB" w:eastAsia="zh-CN"/>
        </w:rPr>
        <w:t>aforementioned network-based</w:t>
      </w:r>
      <w:proofErr w:type="gramEnd"/>
      <w:r w:rsidR="00F72C70">
        <w:rPr>
          <w:rFonts w:ascii="Arial" w:hAnsi="Arial" w:cs="Arial"/>
          <w:szCs w:val="20"/>
          <w:lang w:val="en-GB" w:eastAsia="zh-CN"/>
        </w:rPr>
        <w:t xml:space="preserve"> solution is agreed </w:t>
      </w:r>
      <w:r w:rsidR="004E2B24">
        <w:rPr>
          <w:rFonts w:ascii="Arial" w:hAnsi="Arial" w:cs="Arial"/>
          <w:szCs w:val="20"/>
          <w:lang w:val="en-GB" w:eastAsia="zh-CN"/>
        </w:rPr>
        <w:t xml:space="preserve">upon </w:t>
      </w:r>
      <w:r w:rsidR="00F72C70">
        <w:rPr>
          <w:rFonts w:ascii="Arial" w:hAnsi="Arial" w:cs="Arial"/>
          <w:szCs w:val="20"/>
          <w:lang w:val="en-GB" w:eastAsia="zh-CN"/>
        </w:rPr>
        <w:t xml:space="preserve">for </w:t>
      </w:r>
      <w:r w:rsidR="004E2B24">
        <w:rPr>
          <w:rFonts w:ascii="Arial" w:hAnsi="Arial" w:cs="Arial"/>
          <w:szCs w:val="20"/>
          <w:lang w:val="en-GB" w:eastAsia="zh-CN"/>
        </w:rPr>
        <w:t xml:space="preserve">the </w:t>
      </w:r>
      <w:r w:rsidR="00F72C70">
        <w:rPr>
          <w:rFonts w:ascii="Arial" w:hAnsi="Arial" w:cs="Arial"/>
          <w:szCs w:val="20"/>
          <w:lang w:val="en-GB" w:eastAsia="zh-CN"/>
        </w:rPr>
        <w:t xml:space="preserve">CHO </w:t>
      </w:r>
      <w:r w:rsidR="004E2B24">
        <w:rPr>
          <w:rFonts w:ascii="Arial" w:hAnsi="Arial" w:cs="Arial"/>
          <w:szCs w:val="20"/>
          <w:lang w:val="en-GB" w:eastAsia="zh-CN"/>
        </w:rPr>
        <w:t>failures when RLF happens at the target cell after the successful completion of the CHO</w:t>
      </w:r>
      <w:r w:rsidR="008D573E">
        <w:rPr>
          <w:rFonts w:ascii="Arial" w:hAnsi="Arial" w:cs="Arial"/>
          <w:szCs w:val="20"/>
          <w:lang w:val="en-GB" w:eastAsia="zh-CN"/>
        </w:rPr>
        <w:t>, the aforementioned solution can be reused for other CHO failure cases</w:t>
      </w:r>
      <w:r w:rsidR="002C153A">
        <w:rPr>
          <w:rFonts w:ascii="Arial" w:hAnsi="Arial" w:cs="Arial"/>
          <w:szCs w:val="20"/>
          <w:lang w:val="en-GB" w:eastAsia="zh-CN"/>
        </w:rPr>
        <w:t xml:space="preserve">. For example, when </w:t>
      </w:r>
      <w:r w:rsidR="00457A4A">
        <w:rPr>
          <w:rFonts w:ascii="Arial" w:hAnsi="Arial" w:cs="Arial"/>
          <w:szCs w:val="20"/>
          <w:lang w:val="en-GB" w:eastAsia="zh-CN"/>
        </w:rPr>
        <w:t xml:space="preserve">RLF happens at the source cell due to </w:t>
      </w:r>
      <w:r w:rsidR="00C4164B">
        <w:rPr>
          <w:rFonts w:ascii="Arial" w:hAnsi="Arial" w:cs="Arial"/>
          <w:szCs w:val="20"/>
          <w:lang w:val="en-GB" w:eastAsia="zh-CN"/>
        </w:rPr>
        <w:t xml:space="preserve">the </w:t>
      </w:r>
      <w:r w:rsidR="00457A4A">
        <w:rPr>
          <w:rFonts w:ascii="Arial" w:hAnsi="Arial" w:cs="Arial"/>
          <w:szCs w:val="20"/>
          <w:lang w:val="en-GB" w:eastAsia="zh-CN"/>
        </w:rPr>
        <w:t>late execution of the</w:t>
      </w:r>
      <w:r w:rsidR="00C4164B">
        <w:rPr>
          <w:rFonts w:ascii="Arial" w:hAnsi="Arial" w:cs="Arial"/>
          <w:szCs w:val="20"/>
          <w:lang w:val="en-GB" w:eastAsia="zh-CN"/>
        </w:rPr>
        <w:t xml:space="preserve"> CHO, the source cell is aware that RLF happened at the source cell. Similar, when </w:t>
      </w:r>
      <w:r w:rsidR="005D53FB">
        <w:rPr>
          <w:rFonts w:ascii="Arial" w:hAnsi="Arial" w:cs="Arial"/>
          <w:szCs w:val="20"/>
          <w:lang w:val="en-GB" w:eastAsia="zh-CN"/>
        </w:rPr>
        <w:t xml:space="preserve">CHO fails, the target cell is aware that CHO has failed. Therefore, the network-based solution is sufficient for all CHO failure scenarios. </w:t>
      </w:r>
    </w:p>
    <w:p w14:paraId="0C149C32" w14:textId="47E8F845" w:rsidR="0069247A" w:rsidRDefault="005D53FB" w:rsidP="006E0DC7">
      <w:pPr>
        <w:spacing w:before="100" w:beforeAutospacing="1" w:after="100" w:afterAutospacing="1"/>
        <w:textAlignment w:val="baseline"/>
        <w:rPr>
          <w:rFonts w:ascii="Arial" w:eastAsia="MS Mincho" w:hAnsi="Arial" w:cs="Arial"/>
          <w:b/>
          <w:bCs/>
          <w:szCs w:val="20"/>
          <w:lang w:eastAsia="ja-JP"/>
        </w:rPr>
      </w:pPr>
      <w:r>
        <w:rPr>
          <w:rFonts w:ascii="Arial" w:hAnsi="Arial" w:cs="Arial"/>
          <w:b/>
          <w:bCs/>
          <w:szCs w:val="20"/>
          <w:lang w:val="sv-SE"/>
        </w:rPr>
        <w:t>Proposal 1: The network-based solution</w:t>
      </w:r>
      <w:r w:rsidR="00816627">
        <w:rPr>
          <w:rFonts w:ascii="Arial" w:hAnsi="Arial" w:cs="Arial"/>
          <w:b/>
          <w:bCs/>
          <w:szCs w:val="20"/>
          <w:lang w:val="sv-SE"/>
        </w:rPr>
        <w:t xml:space="preserve">, </w:t>
      </w:r>
      <w:r w:rsidR="00816627" w:rsidRPr="00B82ABB">
        <w:rPr>
          <w:rFonts w:ascii="Arial" w:hAnsi="Arial" w:cs="Arial"/>
          <w:b/>
          <w:bCs/>
          <w:szCs w:val="20"/>
          <w:lang w:val="en-GB" w:eastAsia="zh-CN"/>
        </w:rPr>
        <w:t>“</w:t>
      </w:r>
      <w:r w:rsidR="00816627" w:rsidRPr="00B82ABB">
        <w:rPr>
          <w:rFonts w:ascii="Arial" w:eastAsia="MS Mincho" w:hAnsi="Arial" w:cs="Arial"/>
          <w:b/>
          <w:bCs/>
          <w:szCs w:val="20"/>
          <w:lang w:eastAsia="ja-JP"/>
        </w:rPr>
        <w:t>Include candidate cell list and CHO execution condition(s) as optional in the SN STATUS TRANSFER message and HANDOVER REPORT message”</w:t>
      </w:r>
      <w:r w:rsidR="00816627">
        <w:rPr>
          <w:rFonts w:ascii="Arial" w:eastAsia="MS Mincho" w:hAnsi="Arial" w:cs="Arial"/>
          <w:b/>
          <w:bCs/>
          <w:szCs w:val="20"/>
          <w:lang w:eastAsia="ja-JP"/>
        </w:rPr>
        <w:t xml:space="preserve"> is adopted for all CHO failure scenarios. </w:t>
      </w:r>
    </w:p>
    <w:p w14:paraId="4F893A98" w14:textId="3274AF8F" w:rsidR="00816627" w:rsidRDefault="00816627" w:rsidP="006E0DC7">
      <w:pPr>
        <w:spacing w:before="100" w:beforeAutospacing="1" w:after="100" w:afterAutospacing="1"/>
        <w:textAlignment w:val="baseline"/>
        <w:rPr>
          <w:rFonts w:ascii="Arial" w:eastAsia="MS Mincho" w:hAnsi="Arial" w:cs="Arial"/>
          <w:b/>
          <w:bCs/>
          <w:szCs w:val="20"/>
          <w:lang w:eastAsia="ja-JP"/>
        </w:rPr>
      </w:pPr>
      <w:r>
        <w:rPr>
          <w:rFonts w:ascii="Arial" w:eastAsia="MS Mincho" w:hAnsi="Arial" w:cs="Arial"/>
          <w:b/>
          <w:bCs/>
          <w:szCs w:val="20"/>
          <w:lang w:eastAsia="ja-JP"/>
        </w:rPr>
        <w:t xml:space="preserve">Proposal 2: </w:t>
      </w:r>
      <w:r w:rsidR="00173794">
        <w:rPr>
          <w:rFonts w:ascii="Arial" w:eastAsia="MS Mincho" w:hAnsi="Arial" w:cs="Arial"/>
          <w:b/>
          <w:bCs/>
          <w:szCs w:val="20"/>
          <w:lang w:eastAsia="ja-JP"/>
        </w:rPr>
        <w:t>CHO candidate cell and configuration are not reported in the RLF report and measurement report.</w:t>
      </w:r>
    </w:p>
    <w:p w14:paraId="417FC85B" w14:textId="362A4AE0" w:rsidR="00173794" w:rsidRPr="00307F78" w:rsidRDefault="00173794" w:rsidP="006E0DC7">
      <w:pPr>
        <w:spacing w:before="100" w:beforeAutospacing="1" w:after="100" w:afterAutospacing="1"/>
        <w:textAlignment w:val="baseline"/>
        <w:rPr>
          <w:rFonts w:ascii="Arial" w:hAnsi="Arial" w:cs="Arial"/>
          <w:b/>
          <w:bCs/>
          <w:szCs w:val="20"/>
          <w:lang w:val="sv-SE"/>
        </w:rPr>
      </w:pPr>
      <w:r>
        <w:rPr>
          <w:rFonts w:ascii="Arial" w:eastAsia="MS Mincho" w:hAnsi="Arial" w:cs="Arial"/>
          <w:b/>
          <w:bCs/>
          <w:szCs w:val="20"/>
          <w:lang w:eastAsia="ja-JP"/>
        </w:rPr>
        <w:t xml:space="preserve">Proposal 3: There is no need to include an indicator in the measurement report </w:t>
      </w:r>
      <w:r w:rsidR="005D32CB">
        <w:rPr>
          <w:rFonts w:ascii="Arial" w:eastAsia="MS Mincho" w:hAnsi="Arial" w:cs="Arial"/>
          <w:b/>
          <w:bCs/>
          <w:szCs w:val="20"/>
          <w:lang w:eastAsia="ja-JP"/>
        </w:rPr>
        <w:t xml:space="preserve">to indicate </w:t>
      </w:r>
      <w:r>
        <w:rPr>
          <w:rFonts w:ascii="Arial" w:eastAsia="MS Mincho" w:hAnsi="Arial" w:cs="Arial"/>
          <w:b/>
          <w:bCs/>
          <w:szCs w:val="20"/>
          <w:lang w:eastAsia="ja-JP"/>
        </w:rPr>
        <w:t xml:space="preserve">if a neighboring cell is </w:t>
      </w:r>
      <w:r w:rsidR="001F53D6">
        <w:rPr>
          <w:rFonts w:ascii="Arial" w:eastAsia="MS Mincho" w:hAnsi="Arial" w:cs="Arial"/>
          <w:b/>
          <w:bCs/>
          <w:szCs w:val="20"/>
          <w:lang w:eastAsia="ja-JP"/>
        </w:rPr>
        <w:t xml:space="preserve">a </w:t>
      </w:r>
      <w:r>
        <w:rPr>
          <w:rFonts w:ascii="Arial" w:eastAsia="MS Mincho" w:hAnsi="Arial" w:cs="Arial"/>
          <w:b/>
          <w:bCs/>
          <w:szCs w:val="20"/>
          <w:lang w:eastAsia="ja-JP"/>
        </w:rPr>
        <w:t>candi</w:t>
      </w:r>
      <w:r w:rsidR="005D32CB">
        <w:rPr>
          <w:rFonts w:ascii="Arial" w:eastAsia="MS Mincho" w:hAnsi="Arial" w:cs="Arial"/>
          <w:b/>
          <w:bCs/>
          <w:szCs w:val="20"/>
          <w:lang w:eastAsia="ja-JP"/>
        </w:rPr>
        <w:t>d</w:t>
      </w:r>
      <w:r>
        <w:rPr>
          <w:rFonts w:ascii="Arial" w:eastAsia="MS Mincho" w:hAnsi="Arial" w:cs="Arial"/>
          <w:b/>
          <w:bCs/>
          <w:szCs w:val="20"/>
          <w:lang w:eastAsia="ja-JP"/>
        </w:rPr>
        <w:t xml:space="preserve">ate target cell. </w:t>
      </w:r>
    </w:p>
    <w:p w14:paraId="4E9D33D7" w14:textId="6F677CAA"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2D070112" w14:textId="77777777" w:rsidR="001F53D6" w:rsidRPr="001F53D6" w:rsidRDefault="001F53D6" w:rsidP="001F53D6">
      <w:pPr>
        <w:rPr>
          <w:rFonts w:ascii="Arial" w:eastAsia="MS Mincho" w:hAnsi="Arial" w:cs="Arial"/>
          <w:b/>
          <w:bCs/>
          <w:szCs w:val="20"/>
          <w:lang w:eastAsia="ja-JP"/>
        </w:rPr>
      </w:pPr>
      <w:r w:rsidRPr="001F53D6">
        <w:rPr>
          <w:rFonts w:ascii="Arial" w:eastAsia="MS Mincho" w:hAnsi="Arial" w:cs="Arial"/>
          <w:b/>
          <w:bCs/>
          <w:szCs w:val="20"/>
          <w:lang w:eastAsia="ja-JP"/>
        </w:rPr>
        <w:t xml:space="preserve">Observation 1: </w:t>
      </w:r>
      <w:r w:rsidRPr="001F53D6">
        <w:rPr>
          <w:rFonts w:ascii="Arial" w:hAnsi="Arial" w:cs="Arial"/>
          <w:b/>
          <w:bCs/>
          <w:szCs w:val="20"/>
          <w:lang w:val="en-GB" w:eastAsia="zh-CN"/>
        </w:rPr>
        <w:t>RAN3 agreed to “</w:t>
      </w:r>
      <w:r w:rsidRPr="001F53D6">
        <w:rPr>
          <w:rFonts w:ascii="Arial" w:eastAsia="MS Mincho" w:hAnsi="Arial" w:cs="Arial"/>
          <w:b/>
          <w:bCs/>
          <w:szCs w:val="20"/>
          <w:lang w:eastAsia="ja-JP"/>
        </w:rPr>
        <w:t>Include candidate cell list and CHO execution condition(s) as optional in the SN STATUS TRANSFER message and HANDOVER REPORT message”.</w:t>
      </w:r>
    </w:p>
    <w:p w14:paraId="0B29760A" w14:textId="77777777" w:rsidR="001F53D6" w:rsidRPr="001F53D6" w:rsidRDefault="001F53D6" w:rsidP="001F53D6">
      <w:pPr>
        <w:spacing w:before="100" w:beforeAutospacing="1" w:after="100" w:afterAutospacing="1"/>
        <w:textAlignment w:val="baseline"/>
        <w:rPr>
          <w:rFonts w:ascii="Arial" w:eastAsia="MS Mincho" w:hAnsi="Arial" w:cs="Arial"/>
          <w:b/>
          <w:bCs/>
          <w:szCs w:val="20"/>
          <w:lang w:eastAsia="ja-JP"/>
        </w:rPr>
      </w:pPr>
      <w:r w:rsidRPr="001F53D6">
        <w:rPr>
          <w:rFonts w:ascii="Arial" w:hAnsi="Arial" w:cs="Arial"/>
          <w:b/>
          <w:bCs/>
          <w:szCs w:val="20"/>
          <w:lang w:val="sv-SE"/>
        </w:rPr>
        <w:t xml:space="preserve">Proposal 1: The network-based solution, </w:t>
      </w:r>
      <w:r w:rsidRPr="001F53D6">
        <w:rPr>
          <w:rFonts w:ascii="Arial" w:hAnsi="Arial" w:cs="Arial"/>
          <w:b/>
          <w:bCs/>
          <w:szCs w:val="20"/>
          <w:lang w:val="en-GB" w:eastAsia="zh-CN"/>
        </w:rPr>
        <w:t>“</w:t>
      </w:r>
      <w:r w:rsidRPr="001F53D6">
        <w:rPr>
          <w:rFonts w:ascii="Arial" w:eastAsia="MS Mincho" w:hAnsi="Arial" w:cs="Arial"/>
          <w:b/>
          <w:bCs/>
          <w:szCs w:val="20"/>
          <w:lang w:eastAsia="ja-JP"/>
        </w:rPr>
        <w:t xml:space="preserve">Include candidate cell list and CHO execution condition(s) as optional in the SN STATUS TRANSFER message and HANDOVER REPORT message” is adopted for all CHO failure scenarios. </w:t>
      </w:r>
    </w:p>
    <w:p w14:paraId="50A2148E" w14:textId="77777777" w:rsidR="001F53D6" w:rsidRPr="001F53D6" w:rsidRDefault="001F53D6" w:rsidP="001F53D6">
      <w:pPr>
        <w:spacing w:before="100" w:beforeAutospacing="1" w:after="100" w:afterAutospacing="1"/>
        <w:textAlignment w:val="baseline"/>
        <w:rPr>
          <w:rFonts w:ascii="Arial" w:eastAsia="MS Mincho" w:hAnsi="Arial" w:cs="Arial"/>
          <w:b/>
          <w:bCs/>
          <w:szCs w:val="20"/>
          <w:lang w:eastAsia="ja-JP"/>
        </w:rPr>
      </w:pPr>
      <w:r w:rsidRPr="001F53D6">
        <w:rPr>
          <w:rFonts w:ascii="Arial" w:eastAsia="MS Mincho" w:hAnsi="Arial" w:cs="Arial"/>
          <w:b/>
          <w:bCs/>
          <w:szCs w:val="20"/>
          <w:lang w:eastAsia="ja-JP"/>
        </w:rPr>
        <w:lastRenderedPageBreak/>
        <w:t>Proposal 2: CHO candidate cell and configuration are not reported in the RLF report and measurement report.</w:t>
      </w:r>
    </w:p>
    <w:p w14:paraId="15A2928E" w14:textId="3F654B79" w:rsidR="007B442D" w:rsidRPr="001F53D6" w:rsidRDefault="001F53D6" w:rsidP="001F53D6">
      <w:pPr>
        <w:spacing w:before="100" w:beforeAutospacing="1" w:after="100" w:afterAutospacing="1"/>
        <w:textAlignment w:val="baseline"/>
        <w:rPr>
          <w:rFonts w:ascii="Arial" w:hAnsi="Arial" w:cs="Arial"/>
          <w:b/>
          <w:bCs/>
          <w:szCs w:val="20"/>
          <w:lang w:val="sv-SE"/>
        </w:rPr>
      </w:pPr>
      <w:r w:rsidRPr="001F53D6">
        <w:rPr>
          <w:rFonts w:ascii="Arial" w:eastAsia="MS Mincho" w:hAnsi="Arial" w:cs="Arial"/>
          <w:b/>
          <w:bCs/>
          <w:szCs w:val="20"/>
          <w:lang w:eastAsia="ja-JP"/>
        </w:rPr>
        <w:t>Proposal 3: There is no need to include an indicator in the measurement report</w:t>
      </w:r>
      <w:r w:rsidR="005D32CB">
        <w:rPr>
          <w:rFonts w:ascii="Arial" w:eastAsia="MS Mincho" w:hAnsi="Arial" w:cs="Arial"/>
          <w:b/>
          <w:bCs/>
          <w:szCs w:val="20"/>
          <w:lang w:eastAsia="ja-JP"/>
        </w:rPr>
        <w:t xml:space="preserve"> to indicate</w:t>
      </w:r>
      <w:r w:rsidRPr="001F53D6">
        <w:rPr>
          <w:rFonts w:ascii="Arial" w:eastAsia="MS Mincho" w:hAnsi="Arial" w:cs="Arial"/>
          <w:b/>
          <w:bCs/>
          <w:szCs w:val="20"/>
          <w:lang w:eastAsia="ja-JP"/>
        </w:rPr>
        <w:t xml:space="preserve"> </w:t>
      </w:r>
      <w:r w:rsidR="005D32CB">
        <w:rPr>
          <w:rFonts w:ascii="Arial" w:eastAsia="MS Mincho" w:hAnsi="Arial" w:cs="Arial"/>
          <w:b/>
          <w:bCs/>
          <w:szCs w:val="20"/>
          <w:lang w:eastAsia="ja-JP"/>
        </w:rPr>
        <w:t>if</w:t>
      </w:r>
      <w:r w:rsidRPr="001F53D6">
        <w:rPr>
          <w:rFonts w:ascii="Arial" w:eastAsia="MS Mincho" w:hAnsi="Arial" w:cs="Arial"/>
          <w:b/>
          <w:bCs/>
          <w:szCs w:val="20"/>
          <w:lang w:eastAsia="ja-JP"/>
        </w:rPr>
        <w:t xml:space="preserve"> a neighboring cell is a candidate target cell. </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7D95D80D"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RAN2#117-emeeting</w:t>
      </w:r>
    </w:p>
    <w:p w14:paraId="18D8A508" w14:textId="788E65FA" w:rsidR="008A22A3" w:rsidRDefault="009141D1" w:rsidP="006E0DC7">
      <w:pPr>
        <w:pStyle w:val="BodyText"/>
        <w:jc w:val="left"/>
        <w:rPr>
          <w:rFonts w:ascii="Arial" w:hAnsi="Arial" w:cs="Arial"/>
        </w:rPr>
      </w:pPr>
      <w:r w:rsidRPr="00FB5E72">
        <w:rPr>
          <w:rFonts w:ascii="Arial" w:eastAsia="SimSun" w:hAnsi="Arial" w:cs="Arial"/>
          <w:lang w:val="en-GB"/>
        </w:rPr>
        <w:t xml:space="preserve">[2] </w:t>
      </w:r>
      <w:r w:rsidR="00BF22C3">
        <w:rPr>
          <w:rFonts w:ascii="Arial" w:hAnsi="Arial" w:cs="Arial"/>
        </w:rPr>
        <w:t xml:space="preserve">RAN3#115-emeeting </w:t>
      </w:r>
    </w:p>
    <w:p w14:paraId="09EB2062" w14:textId="0137D6C4" w:rsidR="00BF22C3" w:rsidRPr="00A45484" w:rsidRDefault="00BF22C3" w:rsidP="006E0DC7">
      <w:pPr>
        <w:pStyle w:val="BodyText"/>
        <w:jc w:val="left"/>
        <w:rPr>
          <w:rFonts w:ascii="Arial" w:hAnsi="Arial" w:cs="Arial"/>
        </w:rPr>
      </w:pPr>
      <w:r>
        <w:rPr>
          <w:rFonts w:ascii="Arial" w:hAnsi="Arial" w:cs="Arial"/>
        </w:rPr>
        <w:t xml:space="preserve">[3] </w:t>
      </w:r>
      <w:r w:rsidR="00465B05">
        <w:rPr>
          <w:rFonts w:ascii="Arial" w:hAnsi="Arial" w:cs="Arial"/>
        </w:rPr>
        <w:t>R3-222792, “</w:t>
      </w:r>
      <w:r w:rsidR="00C21C7C">
        <w:rPr>
          <w:lang w:val="en-GB"/>
        </w:rPr>
        <w:t>Summary of Offline Discussion on SON Enhancements for CHO</w:t>
      </w:r>
      <w:r w:rsidR="00465B05">
        <w:rPr>
          <w:rFonts w:ascii="Arial" w:hAnsi="Arial" w:cs="Arial"/>
        </w:rPr>
        <w:t>”</w:t>
      </w:r>
    </w:p>
    <w:sectPr w:rsidR="00BF22C3" w:rsidRPr="00A45484">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F2797" w14:textId="77777777" w:rsidR="003E2405" w:rsidRDefault="003E2405">
      <w:r>
        <w:separator/>
      </w:r>
    </w:p>
  </w:endnote>
  <w:endnote w:type="continuationSeparator" w:id="0">
    <w:p w14:paraId="2B5DAFB6" w14:textId="77777777" w:rsidR="003E2405" w:rsidRDefault="003E2405">
      <w:r>
        <w:continuationSeparator/>
      </w:r>
    </w:p>
  </w:endnote>
  <w:endnote w:type="continuationNotice" w:id="1">
    <w:p w14:paraId="302F6B95" w14:textId="77777777" w:rsidR="003E2405" w:rsidRDefault="003E2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A3538" w14:textId="77777777" w:rsidR="003E2405" w:rsidRDefault="003E2405">
      <w:r>
        <w:separator/>
      </w:r>
    </w:p>
  </w:footnote>
  <w:footnote w:type="continuationSeparator" w:id="0">
    <w:p w14:paraId="55E68A7F" w14:textId="77777777" w:rsidR="003E2405" w:rsidRDefault="003E2405">
      <w:r>
        <w:continuationSeparator/>
      </w:r>
    </w:p>
  </w:footnote>
  <w:footnote w:type="continuationNotice" w:id="1">
    <w:p w14:paraId="4D845A52" w14:textId="77777777" w:rsidR="003E2405" w:rsidRDefault="003E2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63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2"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9F7E71"/>
    <w:multiLevelType w:val="multilevel"/>
    <w:tmpl w:val="1A9F7E71"/>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2234E3"/>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FC205A9"/>
    <w:multiLevelType w:val="multilevel"/>
    <w:tmpl w:val="4FC205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1877EBD"/>
    <w:multiLevelType w:val="hybridMultilevel"/>
    <w:tmpl w:val="59C66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26534F"/>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23946BE"/>
    <w:multiLevelType w:val="multilevel"/>
    <w:tmpl w:val="44CCD646"/>
    <w:lvl w:ilvl="0">
      <w:start w:val="1"/>
      <w:numFmt w:val="decimal"/>
      <w:lvlText w:val="%1."/>
      <w:lvlJc w:val="left"/>
      <w:pPr>
        <w:tabs>
          <w:tab w:val="num" w:pos="-1440"/>
        </w:tabs>
        <w:ind w:left="-1440" w:hanging="360"/>
      </w:p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tentative="1">
      <w:start w:val="1"/>
      <w:numFmt w:val="decimal"/>
      <w:lvlText w:val="%4."/>
      <w:lvlJc w:val="left"/>
      <w:pPr>
        <w:tabs>
          <w:tab w:val="num" w:pos="720"/>
        </w:tabs>
        <w:ind w:left="720" w:hanging="360"/>
      </w:pPr>
    </w:lvl>
    <w:lvl w:ilvl="4" w:tentative="1">
      <w:start w:val="1"/>
      <w:numFmt w:val="decimal"/>
      <w:lvlText w:val="%5."/>
      <w:lvlJc w:val="left"/>
      <w:pPr>
        <w:tabs>
          <w:tab w:val="num" w:pos="1440"/>
        </w:tabs>
        <w:ind w:left="1440" w:hanging="360"/>
      </w:pPr>
    </w:lvl>
    <w:lvl w:ilvl="5" w:tentative="1">
      <w:start w:val="1"/>
      <w:numFmt w:val="decimal"/>
      <w:lvlText w:val="%6."/>
      <w:lvlJc w:val="left"/>
      <w:pPr>
        <w:tabs>
          <w:tab w:val="num" w:pos="2160"/>
        </w:tabs>
        <w:ind w:left="2160" w:hanging="360"/>
      </w:pPr>
    </w:lvl>
    <w:lvl w:ilvl="6" w:tentative="1">
      <w:start w:val="1"/>
      <w:numFmt w:val="decimal"/>
      <w:lvlText w:val="%7."/>
      <w:lvlJc w:val="left"/>
      <w:pPr>
        <w:tabs>
          <w:tab w:val="num" w:pos="2880"/>
        </w:tabs>
        <w:ind w:left="2880" w:hanging="360"/>
      </w:pPr>
    </w:lvl>
    <w:lvl w:ilvl="7" w:tentative="1">
      <w:start w:val="1"/>
      <w:numFmt w:val="decimal"/>
      <w:lvlText w:val="%8."/>
      <w:lvlJc w:val="left"/>
      <w:pPr>
        <w:tabs>
          <w:tab w:val="num" w:pos="3600"/>
        </w:tabs>
        <w:ind w:left="3600" w:hanging="360"/>
      </w:pPr>
    </w:lvl>
    <w:lvl w:ilvl="8" w:tentative="1">
      <w:start w:val="1"/>
      <w:numFmt w:val="decimal"/>
      <w:lvlText w:val="%9."/>
      <w:lvlJc w:val="left"/>
      <w:pPr>
        <w:tabs>
          <w:tab w:val="num" w:pos="4320"/>
        </w:tabs>
        <w:ind w:left="4320" w:hanging="360"/>
      </w:p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2D408F"/>
    <w:multiLevelType w:val="hybridMultilevel"/>
    <w:tmpl w:val="78B8AD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8"/>
  </w:num>
  <w:num w:numId="2">
    <w:abstractNumId w:val="34"/>
  </w:num>
  <w:num w:numId="3">
    <w:abstractNumId w:val="17"/>
  </w:num>
  <w:num w:numId="4">
    <w:abstractNumId w:val="25"/>
  </w:num>
  <w:num w:numId="5">
    <w:abstractNumId w:val="18"/>
  </w:num>
  <w:num w:numId="6">
    <w:abstractNumId w:val="29"/>
  </w:num>
  <w:num w:numId="7">
    <w:abstractNumId w:val="2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9"/>
  </w:num>
  <w:num w:numId="11">
    <w:abstractNumId w:val="30"/>
  </w:num>
  <w:num w:numId="12">
    <w:abstractNumId w:val="16"/>
  </w:num>
  <w:num w:numId="13">
    <w:abstractNumId w:val="37"/>
  </w:num>
  <w:num w:numId="14">
    <w:abstractNumId w:val="7"/>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6"/>
  </w:num>
  <w:num w:numId="18">
    <w:abstractNumId w:val="24"/>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 w:numId="23">
    <w:abstractNumId w:val="8"/>
  </w:num>
  <w:num w:numId="24">
    <w:abstractNumId w:val="39"/>
  </w:num>
  <w:num w:numId="25">
    <w:abstractNumId w:val="4"/>
  </w:num>
  <w:num w:numId="26">
    <w:abstractNumId w:val="41"/>
  </w:num>
  <w:num w:numId="27">
    <w:abstractNumId w:val="31"/>
  </w:num>
  <w:num w:numId="28">
    <w:abstractNumId w:val="35"/>
  </w:num>
  <w:num w:numId="29">
    <w:abstractNumId w:val="1"/>
  </w:num>
  <w:num w:numId="30">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2"/>
  </w:num>
  <w:num w:numId="33">
    <w:abstractNumId w:val="10"/>
  </w:num>
  <w:num w:numId="34">
    <w:abstractNumId w:val="28"/>
  </w:num>
  <w:num w:numId="35">
    <w:abstractNumId w:val="2"/>
  </w:num>
  <w:num w:numId="36">
    <w:abstractNumId w:val="3"/>
  </w:num>
  <w:num w:numId="37">
    <w:abstractNumId w:val="26"/>
  </w:num>
  <w:num w:numId="38">
    <w:abstractNumId w:val="27"/>
  </w:num>
  <w:num w:numId="39">
    <w:abstractNumId w:val="12"/>
  </w:num>
  <w:num w:numId="40">
    <w:abstractNumId w:val="22"/>
  </w:num>
  <w:num w:numId="41">
    <w:abstractNumId w:val="40"/>
  </w:num>
  <w:num w:numId="42">
    <w:abstractNumId w:val="33"/>
  </w:num>
  <w:num w:numId="43">
    <w:abstractNumId w:val="6"/>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awFADUNMUYtAAAA"/>
  </w:docVars>
  <w:rsids>
    <w:rsidRoot w:val="00B87FBC"/>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75"/>
    <w:rsid w:val="00044623"/>
    <w:rsid w:val="00044FD9"/>
    <w:rsid w:val="00045071"/>
    <w:rsid w:val="000458FF"/>
    <w:rsid w:val="00045EB9"/>
    <w:rsid w:val="00045F5C"/>
    <w:rsid w:val="00047398"/>
    <w:rsid w:val="00047423"/>
    <w:rsid w:val="000478EF"/>
    <w:rsid w:val="00047D75"/>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91C"/>
    <w:rsid w:val="000C4D73"/>
    <w:rsid w:val="000C515A"/>
    <w:rsid w:val="000C5424"/>
    <w:rsid w:val="000C5832"/>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FCA"/>
    <w:rsid w:val="001F4064"/>
    <w:rsid w:val="001F47EF"/>
    <w:rsid w:val="001F4893"/>
    <w:rsid w:val="001F4C7D"/>
    <w:rsid w:val="001F4D40"/>
    <w:rsid w:val="001F53D6"/>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05"/>
    <w:rsid w:val="00217AE5"/>
    <w:rsid w:val="00217BD0"/>
    <w:rsid w:val="00220722"/>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9F5"/>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0E"/>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B51"/>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3B7"/>
    <w:rsid w:val="002E093C"/>
    <w:rsid w:val="002E0F2A"/>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8F3"/>
    <w:rsid w:val="00304D2C"/>
    <w:rsid w:val="00304E2C"/>
    <w:rsid w:val="0030542F"/>
    <w:rsid w:val="00305899"/>
    <w:rsid w:val="00305BA2"/>
    <w:rsid w:val="00305C7B"/>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397"/>
    <w:rsid w:val="003A0583"/>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F83"/>
    <w:rsid w:val="0042204D"/>
    <w:rsid w:val="00422104"/>
    <w:rsid w:val="004223DF"/>
    <w:rsid w:val="004224D0"/>
    <w:rsid w:val="004227D3"/>
    <w:rsid w:val="00422A68"/>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25F4"/>
    <w:rsid w:val="004F2A7A"/>
    <w:rsid w:val="004F3085"/>
    <w:rsid w:val="004F3B36"/>
    <w:rsid w:val="004F3CF7"/>
    <w:rsid w:val="004F3DA4"/>
    <w:rsid w:val="004F45ED"/>
    <w:rsid w:val="004F49E8"/>
    <w:rsid w:val="004F4C2A"/>
    <w:rsid w:val="004F592B"/>
    <w:rsid w:val="004F5A7A"/>
    <w:rsid w:val="004F6190"/>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9F"/>
    <w:rsid w:val="005A71C6"/>
    <w:rsid w:val="005A7446"/>
    <w:rsid w:val="005A77B0"/>
    <w:rsid w:val="005A7DA4"/>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2CB"/>
    <w:rsid w:val="005D3659"/>
    <w:rsid w:val="005D3BA3"/>
    <w:rsid w:val="005D4027"/>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16627"/>
    <w:rsid w:val="00817352"/>
    <w:rsid w:val="0082059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4639"/>
    <w:rsid w:val="0086479A"/>
    <w:rsid w:val="008647F3"/>
    <w:rsid w:val="00864C85"/>
    <w:rsid w:val="00864CC3"/>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3BCC"/>
    <w:rsid w:val="00974308"/>
    <w:rsid w:val="00974D21"/>
    <w:rsid w:val="0097645C"/>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8D8"/>
    <w:rsid w:val="009A39E3"/>
    <w:rsid w:val="009A3BE9"/>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45"/>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4E1F"/>
    <w:rsid w:val="00A65492"/>
    <w:rsid w:val="00A658CE"/>
    <w:rsid w:val="00A65935"/>
    <w:rsid w:val="00A65AED"/>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1C7C"/>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A38"/>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103F"/>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4E8"/>
    <w:rsid w:val="00DF779E"/>
    <w:rsid w:val="00DF7FAC"/>
    <w:rsid w:val="00E003FF"/>
    <w:rsid w:val="00E00CEE"/>
    <w:rsid w:val="00E01A2F"/>
    <w:rsid w:val="00E01A9C"/>
    <w:rsid w:val="00E01B97"/>
    <w:rsid w:val="00E01F30"/>
    <w:rsid w:val="00E01FE2"/>
    <w:rsid w:val="00E02610"/>
    <w:rsid w:val="00E02811"/>
    <w:rsid w:val="00E0291D"/>
    <w:rsid w:val="00E039C2"/>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39"/>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493"/>
    <w:rsid w:val="00F57CC0"/>
    <w:rsid w:val="00F57F2E"/>
    <w:rsid w:val="00F600A1"/>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5FED"/>
    <w:rsid w:val="00F660E2"/>
    <w:rsid w:val="00F663D9"/>
    <w:rsid w:val="00F665FF"/>
    <w:rsid w:val="00F669FB"/>
    <w:rsid w:val="00F66CA3"/>
    <w:rsid w:val="00F66E61"/>
    <w:rsid w:val="00F6747A"/>
    <w:rsid w:val="00F67B78"/>
    <w:rsid w:val="00F67C75"/>
    <w:rsid w:val="00F70006"/>
    <w:rsid w:val="00F70959"/>
    <w:rsid w:val="00F70BBE"/>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A21"/>
    <w:rsid w:val="00F96D06"/>
    <w:rsid w:val="00F975DC"/>
    <w:rsid w:val="00F976CC"/>
    <w:rsid w:val="00F97731"/>
    <w:rsid w:val="00F9778D"/>
    <w:rsid w:val="00F97944"/>
    <w:rsid w:val="00F97E1C"/>
    <w:rsid w:val="00FA020F"/>
    <w:rsid w:val="00FA024D"/>
    <w:rsid w:val="00FA068C"/>
    <w:rsid w:val="00FA07C0"/>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F123C0A"/>
    <w:rsid w:val="2FB70902"/>
    <w:rsid w:val="382E60D7"/>
    <w:rsid w:val="3EC537D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3D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2</Pages>
  <Words>446</Words>
  <Characters>2543</Characters>
  <Application>Microsoft Office Word</Application>
  <DocSecurity>0</DocSecurity>
  <Lines>21</Lines>
  <Paragraphs>5</Paragraphs>
  <ScaleCrop>false</ScaleCrop>
  <Company>Vivo</Company>
  <LinksUpToDate>false</LinksUpToDate>
  <CharactersWithSpaces>2984</CharactersWithSpaces>
  <SharedDoc>false</SharedDoc>
  <HLinks>
    <vt:vector size="12" baseType="variant">
      <vt:variant>
        <vt:i4>3866669</vt:i4>
      </vt:variant>
      <vt:variant>
        <vt:i4>9</vt:i4>
      </vt:variant>
      <vt:variant>
        <vt:i4>0</vt:i4>
      </vt:variant>
      <vt:variant>
        <vt:i4>5</vt:i4>
      </vt:variant>
      <vt:variant>
        <vt:lpwstr>https://ericsson.sharepoint.com/R2-2201612.zip</vt:lpwstr>
      </vt:variant>
      <vt:variant>
        <vt:lpwstr/>
      </vt:variant>
      <vt:variant>
        <vt:i4>3145807</vt:i4>
      </vt:variant>
      <vt:variant>
        <vt:i4>6</vt:i4>
      </vt:variant>
      <vt:variant>
        <vt:i4>0</vt:i4>
      </vt:variant>
      <vt:variant>
        <vt:i4>5</vt:i4>
      </vt:variant>
      <vt:variant>
        <vt:lpwstr>https://www.3gpp.org/ftp/tsg_ran/WG2_RL2/TSGR2_116bis-e/Docs/R2-2201612.zip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970</cp:revision>
  <cp:lastPrinted>2011-08-03T08:36:00Z</cp:lastPrinted>
  <dcterms:created xsi:type="dcterms:W3CDTF">2020-10-15T19:02:00Z</dcterms:created>
  <dcterms:modified xsi:type="dcterms:W3CDTF">2022-04-25T15:28:00Z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